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2B082" w14:textId="1859EFC0" w:rsidR="00863D4E" w:rsidRDefault="00863D4E" w:rsidP="00863D4E">
      <w:pPr>
        <w:pStyle w:val="NoSpacing"/>
        <w:tabs>
          <w:tab w:val="left" w:pos="990"/>
        </w:tabs>
        <w:jc w:val="center"/>
        <w:rPr>
          <w:rFonts w:ascii="Aptos" w:hAnsi="Aptos"/>
          <w:b/>
          <w:color w:val="000000" w:themeColor="text1"/>
          <w:sz w:val="32"/>
          <w:szCs w:val="32"/>
          <w:u w:val="single"/>
        </w:rPr>
      </w:pPr>
      <w:r w:rsidRPr="00E2141E">
        <w:rPr>
          <w:rFonts w:ascii="Aptos" w:hAnsi="Aptos"/>
          <w:b/>
          <w:color w:val="000000" w:themeColor="text1"/>
          <w:sz w:val="32"/>
          <w:szCs w:val="32"/>
          <w:u w:val="single"/>
        </w:rPr>
        <w:t xml:space="preserve">APPENDIX </w:t>
      </w:r>
      <w:r>
        <w:rPr>
          <w:rFonts w:ascii="Aptos" w:hAnsi="Aptos"/>
          <w:b/>
          <w:color w:val="000000" w:themeColor="text1"/>
          <w:sz w:val="32"/>
          <w:szCs w:val="32"/>
          <w:u w:val="single"/>
        </w:rPr>
        <w:t>XV</w:t>
      </w:r>
      <w:r>
        <w:rPr>
          <w:rFonts w:ascii="Aptos" w:hAnsi="Aptos"/>
          <w:b/>
          <w:color w:val="000000" w:themeColor="text1"/>
          <w:sz w:val="32"/>
          <w:szCs w:val="32"/>
          <w:u w:val="single"/>
        </w:rPr>
        <w:t>I</w:t>
      </w:r>
      <w:r>
        <w:rPr>
          <w:rFonts w:ascii="Aptos" w:hAnsi="Aptos"/>
          <w:b/>
          <w:color w:val="000000" w:themeColor="text1"/>
          <w:sz w:val="32"/>
          <w:szCs w:val="32"/>
          <w:u w:val="single"/>
        </w:rPr>
        <w:t>I</w:t>
      </w:r>
    </w:p>
    <w:p w14:paraId="26083E5B" w14:textId="77777777" w:rsidR="00863D4E" w:rsidRDefault="00863D4E">
      <w:pPr>
        <w:pStyle w:val="Heading1"/>
        <w:spacing w:line="235" w:lineRule="auto"/>
        <w:ind w:left="529" w:right="525"/>
      </w:pPr>
    </w:p>
    <w:p w14:paraId="11B519EF" w14:textId="77777777" w:rsidR="00863D4E" w:rsidRDefault="00863D4E">
      <w:pPr>
        <w:pStyle w:val="Heading1"/>
        <w:spacing w:line="235" w:lineRule="auto"/>
        <w:ind w:left="529" w:right="525"/>
      </w:pPr>
    </w:p>
    <w:p w14:paraId="22DDD017" w14:textId="254CE334" w:rsidR="0003321D" w:rsidRDefault="00000000">
      <w:pPr>
        <w:pStyle w:val="Heading1"/>
        <w:spacing w:line="235" w:lineRule="auto"/>
        <w:ind w:left="529" w:right="525"/>
      </w:pPr>
      <w:r>
        <w:t>Joint</w:t>
      </w:r>
      <w:r>
        <w:rPr>
          <w:spacing w:val="-11"/>
        </w:rPr>
        <w:t xml:space="preserve"> </w:t>
      </w:r>
      <w:r>
        <w:t>Statement</w:t>
      </w:r>
      <w:r>
        <w:rPr>
          <w:spacing w:val="-11"/>
        </w:rPr>
        <w:t xml:space="preserve"> </w:t>
      </w:r>
      <w:r>
        <w:t>of</w:t>
      </w:r>
      <w:r>
        <w:rPr>
          <w:spacing w:val="-11"/>
        </w:rPr>
        <w:t xml:space="preserve"> </w:t>
      </w:r>
      <w:r>
        <w:t>the</w:t>
      </w:r>
      <w:r>
        <w:rPr>
          <w:spacing w:val="-15"/>
        </w:rPr>
        <w:t xml:space="preserve"> </w:t>
      </w:r>
      <w:r>
        <w:t>Typhoon</w:t>
      </w:r>
      <w:r>
        <w:rPr>
          <w:spacing w:val="-8"/>
        </w:rPr>
        <w:t xml:space="preserve"> </w:t>
      </w:r>
      <w:r>
        <w:t>Committee</w:t>
      </w:r>
      <w:r>
        <w:rPr>
          <w:spacing w:val="-8"/>
        </w:rPr>
        <w:t xml:space="preserve"> </w:t>
      </w:r>
      <w:r>
        <w:t>High-Level Forum (Macao Statement)</w:t>
      </w:r>
    </w:p>
    <w:p w14:paraId="3284C93D" w14:textId="77777777" w:rsidR="0003321D" w:rsidRDefault="00000000">
      <w:pPr>
        <w:spacing w:line="361" w:lineRule="exact"/>
        <w:ind w:left="2075" w:right="2075"/>
        <w:jc w:val="center"/>
        <w:rPr>
          <w:b/>
          <w:sz w:val="32"/>
        </w:rPr>
      </w:pPr>
      <w:r>
        <w:rPr>
          <w:b/>
          <w:sz w:val="32"/>
        </w:rPr>
        <w:t>Macao,</w:t>
      </w:r>
      <w:r>
        <w:rPr>
          <w:b/>
          <w:spacing w:val="-14"/>
          <w:sz w:val="32"/>
        </w:rPr>
        <w:t xml:space="preserve"> </w:t>
      </w:r>
      <w:r>
        <w:rPr>
          <w:b/>
          <w:sz w:val="32"/>
        </w:rPr>
        <w:t>China,</w:t>
      </w:r>
      <w:r>
        <w:rPr>
          <w:b/>
          <w:spacing w:val="-11"/>
          <w:sz w:val="32"/>
        </w:rPr>
        <w:t xml:space="preserve"> </w:t>
      </w:r>
      <w:r>
        <w:rPr>
          <w:b/>
          <w:sz w:val="32"/>
        </w:rPr>
        <w:t>2</w:t>
      </w:r>
      <w:r>
        <w:rPr>
          <w:b/>
          <w:spacing w:val="-10"/>
          <w:sz w:val="32"/>
        </w:rPr>
        <w:t xml:space="preserve"> </w:t>
      </w:r>
      <w:r>
        <w:rPr>
          <w:b/>
          <w:sz w:val="32"/>
        </w:rPr>
        <w:t>December</w:t>
      </w:r>
      <w:r>
        <w:rPr>
          <w:b/>
          <w:spacing w:val="-16"/>
          <w:sz w:val="32"/>
        </w:rPr>
        <w:t xml:space="preserve"> </w:t>
      </w:r>
      <w:r>
        <w:rPr>
          <w:b/>
          <w:spacing w:val="-4"/>
          <w:sz w:val="32"/>
        </w:rPr>
        <w:t>2025</w:t>
      </w:r>
    </w:p>
    <w:p w14:paraId="2B28FC8F" w14:textId="77777777" w:rsidR="0003321D" w:rsidRDefault="0003321D">
      <w:pPr>
        <w:pStyle w:val="BodyText"/>
        <w:spacing w:before="1"/>
        <w:rPr>
          <w:b/>
          <w:sz w:val="31"/>
        </w:rPr>
      </w:pPr>
    </w:p>
    <w:p w14:paraId="5E6DB3CB" w14:textId="77777777" w:rsidR="0003321D" w:rsidRDefault="00000000">
      <w:pPr>
        <w:pStyle w:val="BodyText"/>
        <w:spacing w:line="235" w:lineRule="auto"/>
        <w:ind w:left="120" w:right="115"/>
        <w:jc w:val="both"/>
      </w:pPr>
      <w:r>
        <w:rPr>
          <w:b/>
        </w:rPr>
        <w:t>We</w:t>
      </w:r>
      <w:r>
        <w:t>,</w:t>
      </w:r>
      <w:r>
        <w:rPr>
          <w:spacing w:val="-10"/>
        </w:rPr>
        <w:t xml:space="preserve"> </w:t>
      </w:r>
      <w:r>
        <w:t>the</w:t>
      </w:r>
      <w:r>
        <w:rPr>
          <w:spacing w:val="-10"/>
        </w:rPr>
        <w:t xml:space="preserve"> </w:t>
      </w:r>
      <w:r>
        <w:t>heads</w:t>
      </w:r>
      <w:r>
        <w:rPr>
          <w:spacing w:val="-8"/>
        </w:rPr>
        <w:t xml:space="preserve"> </w:t>
      </w:r>
      <w:r>
        <w:t>of</w:t>
      </w:r>
      <w:r>
        <w:rPr>
          <w:spacing w:val="-11"/>
        </w:rPr>
        <w:t xml:space="preserve"> </w:t>
      </w:r>
      <w:r>
        <w:t>delegations</w:t>
      </w:r>
      <w:r>
        <w:rPr>
          <w:spacing w:val="-7"/>
        </w:rPr>
        <w:t xml:space="preserve"> </w:t>
      </w:r>
      <w:r>
        <w:t>and</w:t>
      </w:r>
      <w:r>
        <w:rPr>
          <w:spacing w:val="-9"/>
        </w:rPr>
        <w:t xml:space="preserve"> </w:t>
      </w:r>
      <w:r>
        <w:t>representatives</w:t>
      </w:r>
      <w:r>
        <w:rPr>
          <w:spacing w:val="-8"/>
        </w:rPr>
        <w:t xml:space="preserve"> </w:t>
      </w:r>
      <w:r>
        <w:t>of</w:t>
      </w:r>
      <w:r>
        <w:rPr>
          <w:spacing w:val="-10"/>
        </w:rPr>
        <w:t xml:space="preserve"> </w:t>
      </w:r>
      <w:r>
        <w:t>the</w:t>
      </w:r>
      <w:r>
        <w:rPr>
          <w:spacing w:val="-10"/>
        </w:rPr>
        <w:t xml:space="preserve"> </w:t>
      </w:r>
      <w:r>
        <w:t>Members of</w:t>
      </w:r>
      <w:r>
        <w:rPr>
          <w:spacing w:val="-8"/>
        </w:rPr>
        <w:t xml:space="preserve"> </w:t>
      </w:r>
      <w:r>
        <w:t>the</w:t>
      </w:r>
      <w:r>
        <w:rPr>
          <w:spacing w:val="-4"/>
        </w:rPr>
        <w:t xml:space="preserve"> </w:t>
      </w:r>
      <w:r>
        <w:t>Economic</w:t>
      </w:r>
      <w:r>
        <w:rPr>
          <w:spacing w:val="-5"/>
        </w:rPr>
        <w:t xml:space="preserve"> </w:t>
      </w:r>
      <w:r>
        <w:t>and</w:t>
      </w:r>
      <w:r>
        <w:rPr>
          <w:spacing w:val="-6"/>
        </w:rPr>
        <w:t xml:space="preserve"> </w:t>
      </w:r>
      <w:r>
        <w:t>Social</w:t>
      </w:r>
      <w:r>
        <w:rPr>
          <w:spacing w:val="-7"/>
        </w:rPr>
        <w:t xml:space="preserve"> </w:t>
      </w:r>
      <w:r>
        <w:t>Commission</w:t>
      </w:r>
      <w:r>
        <w:rPr>
          <w:spacing w:val="-6"/>
        </w:rPr>
        <w:t xml:space="preserve"> </w:t>
      </w:r>
      <w:r>
        <w:t>for</w:t>
      </w:r>
      <w:r>
        <w:rPr>
          <w:spacing w:val="-20"/>
        </w:rPr>
        <w:t xml:space="preserve"> </w:t>
      </w:r>
      <w:r>
        <w:t>Asia</w:t>
      </w:r>
      <w:r>
        <w:rPr>
          <w:spacing w:val="-4"/>
        </w:rPr>
        <w:t xml:space="preserve"> </w:t>
      </w:r>
      <w:r>
        <w:t>and the</w:t>
      </w:r>
      <w:r>
        <w:rPr>
          <w:spacing w:val="-7"/>
        </w:rPr>
        <w:t xml:space="preserve"> </w:t>
      </w:r>
      <w:r>
        <w:t>Pacific (ESCAP)/World Meteorological Organization (WMO) Typhoon Committee who participated in the Typhoon Committee High- level Forum held in Macao, China on 2 December 2025:</w:t>
      </w:r>
    </w:p>
    <w:p w14:paraId="31975547" w14:textId="77777777" w:rsidR="0003321D" w:rsidRDefault="0003321D">
      <w:pPr>
        <w:pStyle w:val="BodyText"/>
        <w:spacing w:before="1"/>
        <w:rPr>
          <w:sz w:val="31"/>
        </w:rPr>
      </w:pPr>
    </w:p>
    <w:p w14:paraId="15AF592A" w14:textId="77777777" w:rsidR="0003321D" w:rsidRDefault="00000000">
      <w:pPr>
        <w:pStyle w:val="BodyText"/>
        <w:spacing w:before="1" w:line="235" w:lineRule="auto"/>
        <w:ind w:left="120" w:right="115"/>
        <w:jc w:val="both"/>
      </w:pPr>
      <w:r>
        <w:rPr>
          <w:b/>
        </w:rPr>
        <w:t>Noting with concern</w:t>
      </w:r>
      <w:r>
        <w:t>, the increasing frequency and intensity of severe weather events, and the fact that tropical cyclone-related disasters will continue to affect the Typhoon Committee region;</w:t>
      </w:r>
    </w:p>
    <w:p w14:paraId="02FC67F8" w14:textId="77777777" w:rsidR="0003321D" w:rsidRDefault="0003321D">
      <w:pPr>
        <w:pStyle w:val="BodyText"/>
        <w:spacing w:before="1"/>
        <w:rPr>
          <w:sz w:val="31"/>
        </w:rPr>
      </w:pPr>
    </w:p>
    <w:p w14:paraId="282D420D" w14:textId="77777777" w:rsidR="0003321D" w:rsidRDefault="00000000">
      <w:pPr>
        <w:pStyle w:val="BodyText"/>
        <w:spacing w:line="235" w:lineRule="auto"/>
        <w:ind w:left="120" w:right="115"/>
        <w:jc w:val="both"/>
      </w:pPr>
      <w:r>
        <w:rPr>
          <w:b/>
        </w:rPr>
        <w:t xml:space="preserve">Recalling </w:t>
      </w:r>
      <w:r>
        <w:t>the vision of the Typhoon Committee of being an intergovernmental, regional organization which mitigates impacts</w:t>
      </w:r>
      <w:r>
        <w:rPr>
          <w:spacing w:val="-20"/>
        </w:rPr>
        <w:t xml:space="preserve"> </w:t>
      </w:r>
      <w:r>
        <w:t>and</w:t>
      </w:r>
      <w:r>
        <w:rPr>
          <w:spacing w:val="-20"/>
        </w:rPr>
        <w:t xml:space="preserve"> </w:t>
      </w:r>
      <w:r>
        <w:t>risks</w:t>
      </w:r>
      <w:r>
        <w:rPr>
          <w:spacing w:val="-20"/>
        </w:rPr>
        <w:t xml:space="preserve"> </w:t>
      </w:r>
      <w:r>
        <w:t>of</w:t>
      </w:r>
      <w:r>
        <w:rPr>
          <w:spacing w:val="-20"/>
        </w:rPr>
        <w:t xml:space="preserve"> </w:t>
      </w:r>
      <w:r>
        <w:t>tropical</w:t>
      </w:r>
      <w:r>
        <w:rPr>
          <w:spacing w:val="-20"/>
        </w:rPr>
        <w:t xml:space="preserve"> </w:t>
      </w:r>
      <w:r>
        <w:t>cyclones</w:t>
      </w:r>
      <w:r>
        <w:rPr>
          <w:spacing w:val="-20"/>
        </w:rPr>
        <w:t xml:space="preserve"> </w:t>
      </w:r>
      <w:r>
        <w:t>and</w:t>
      </w:r>
      <w:r>
        <w:rPr>
          <w:spacing w:val="-20"/>
        </w:rPr>
        <w:t xml:space="preserve"> </w:t>
      </w:r>
      <w:r>
        <w:t>related</w:t>
      </w:r>
      <w:r>
        <w:rPr>
          <w:spacing w:val="-19"/>
        </w:rPr>
        <w:t xml:space="preserve"> </w:t>
      </w:r>
      <w:r>
        <w:t>hazards</w:t>
      </w:r>
      <w:r>
        <w:rPr>
          <w:spacing w:val="-17"/>
        </w:rPr>
        <w:t xml:space="preserve"> </w:t>
      </w:r>
      <w:r>
        <w:t>through cooperation, and its mission of integrating and enhancing regional activities of Members within international frameworks to reduce the loss of lives and to minimize the social, economic, and environmental impacts of tropical cyclone-related disasters;</w:t>
      </w:r>
    </w:p>
    <w:p w14:paraId="6B4BC5F6" w14:textId="77777777" w:rsidR="0003321D" w:rsidRDefault="0003321D">
      <w:pPr>
        <w:pStyle w:val="BodyText"/>
        <w:rPr>
          <w:sz w:val="31"/>
        </w:rPr>
      </w:pPr>
    </w:p>
    <w:p w14:paraId="54F66C05" w14:textId="77777777" w:rsidR="0003321D" w:rsidRDefault="00000000">
      <w:pPr>
        <w:pStyle w:val="BodyText"/>
        <w:spacing w:line="235" w:lineRule="auto"/>
        <w:ind w:left="120" w:right="123"/>
        <w:jc w:val="both"/>
      </w:pPr>
      <w:r>
        <w:rPr>
          <w:b/>
        </w:rPr>
        <w:t xml:space="preserve">Recognizing </w:t>
      </w:r>
      <w:r>
        <w:t>the efforts made by Members of the Typhoon Committee and its working groups in reducing the impacts of tropical cyclones on people’s lives, livelihoods, and property;</w:t>
      </w:r>
    </w:p>
    <w:p w14:paraId="0C9AED30" w14:textId="77777777" w:rsidR="0003321D" w:rsidRDefault="0003321D">
      <w:pPr>
        <w:pStyle w:val="BodyText"/>
        <w:spacing w:before="1"/>
        <w:rPr>
          <w:sz w:val="31"/>
        </w:rPr>
      </w:pPr>
    </w:p>
    <w:p w14:paraId="2E89F719" w14:textId="77777777" w:rsidR="0003321D" w:rsidRDefault="00000000">
      <w:pPr>
        <w:pStyle w:val="BodyText"/>
        <w:spacing w:before="1" w:line="235" w:lineRule="auto"/>
        <w:ind w:left="120" w:right="119"/>
        <w:jc w:val="both"/>
      </w:pPr>
      <w:r>
        <w:rPr>
          <w:b/>
        </w:rPr>
        <w:t xml:space="preserve">Recalling </w:t>
      </w:r>
      <w:r>
        <w:t>that the United Nations’ Early Warnings for All (EW4All) initiative aims to ensure that everyone on Earth is protected</w:t>
      </w:r>
      <w:r>
        <w:rPr>
          <w:spacing w:val="-3"/>
        </w:rPr>
        <w:t xml:space="preserve"> </w:t>
      </w:r>
      <w:r>
        <w:t>by</w:t>
      </w:r>
      <w:r>
        <w:rPr>
          <w:spacing w:val="-3"/>
        </w:rPr>
        <w:t xml:space="preserve"> </w:t>
      </w:r>
      <w:r>
        <w:t>early</w:t>
      </w:r>
      <w:r>
        <w:rPr>
          <w:spacing w:val="-4"/>
        </w:rPr>
        <w:t xml:space="preserve"> </w:t>
      </w:r>
      <w:r>
        <w:t>warning</w:t>
      </w:r>
      <w:r>
        <w:rPr>
          <w:spacing w:val="-3"/>
        </w:rPr>
        <w:t xml:space="preserve"> </w:t>
      </w:r>
      <w:r>
        <w:t>systems,</w:t>
      </w:r>
      <w:r>
        <w:rPr>
          <w:spacing w:val="-5"/>
        </w:rPr>
        <w:t xml:space="preserve"> </w:t>
      </w:r>
      <w:r>
        <w:t xml:space="preserve">and </w:t>
      </w:r>
      <w:r>
        <w:rPr>
          <w:b/>
        </w:rPr>
        <w:t>noting</w:t>
      </w:r>
      <w:r>
        <w:rPr>
          <w:b/>
          <w:spacing w:val="-3"/>
        </w:rPr>
        <w:t xml:space="preserve"> </w:t>
      </w:r>
      <w:r>
        <w:t>that</w:t>
      </w:r>
      <w:r>
        <w:rPr>
          <w:spacing w:val="-4"/>
        </w:rPr>
        <w:t xml:space="preserve"> </w:t>
      </w:r>
      <w:r>
        <w:t>efforts</w:t>
      </w:r>
      <w:r>
        <w:rPr>
          <w:spacing w:val="-2"/>
        </w:rPr>
        <w:t xml:space="preserve"> </w:t>
      </w:r>
      <w:r>
        <w:t>at</w:t>
      </w:r>
      <w:r>
        <w:rPr>
          <w:spacing w:val="-4"/>
        </w:rPr>
        <w:t xml:space="preserve"> </w:t>
      </w:r>
      <w:r>
        <w:t>all levels</w:t>
      </w:r>
      <w:r>
        <w:rPr>
          <w:spacing w:val="-18"/>
        </w:rPr>
        <w:t xml:space="preserve"> </w:t>
      </w:r>
      <w:r>
        <w:t>are</w:t>
      </w:r>
      <w:r>
        <w:rPr>
          <w:spacing w:val="-20"/>
        </w:rPr>
        <w:t xml:space="preserve"> </w:t>
      </w:r>
      <w:r>
        <w:t>being</w:t>
      </w:r>
      <w:r>
        <w:rPr>
          <w:spacing w:val="-18"/>
        </w:rPr>
        <w:t xml:space="preserve"> </w:t>
      </w:r>
      <w:r>
        <w:t>made</w:t>
      </w:r>
      <w:r>
        <w:rPr>
          <w:spacing w:val="-19"/>
        </w:rPr>
        <w:t xml:space="preserve"> </w:t>
      </w:r>
      <w:r>
        <w:t>to</w:t>
      </w:r>
      <w:r>
        <w:rPr>
          <w:spacing w:val="-18"/>
        </w:rPr>
        <w:t xml:space="preserve"> </w:t>
      </w:r>
      <w:r>
        <w:t>achieve</w:t>
      </w:r>
      <w:r>
        <w:rPr>
          <w:spacing w:val="-19"/>
        </w:rPr>
        <w:t xml:space="preserve"> </w:t>
      </w:r>
      <w:r>
        <w:t>this</w:t>
      </w:r>
      <w:r>
        <w:rPr>
          <w:spacing w:val="-18"/>
        </w:rPr>
        <w:t xml:space="preserve"> </w:t>
      </w:r>
      <w:r>
        <w:t>goal,</w:t>
      </w:r>
      <w:r>
        <w:rPr>
          <w:spacing w:val="-19"/>
        </w:rPr>
        <w:t xml:space="preserve"> </w:t>
      </w:r>
      <w:r>
        <w:t>but</w:t>
      </w:r>
      <w:r>
        <w:rPr>
          <w:spacing w:val="-15"/>
        </w:rPr>
        <w:t xml:space="preserve"> </w:t>
      </w:r>
      <w:r>
        <w:t>that</w:t>
      </w:r>
      <w:r>
        <w:rPr>
          <w:spacing w:val="-18"/>
        </w:rPr>
        <w:t xml:space="preserve"> </w:t>
      </w:r>
      <w:r>
        <w:t>more</w:t>
      </w:r>
      <w:r>
        <w:rPr>
          <w:spacing w:val="-20"/>
        </w:rPr>
        <w:t xml:space="preserve"> </w:t>
      </w:r>
      <w:r>
        <w:t>is</w:t>
      </w:r>
      <w:r>
        <w:rPr>
          <w:spacing w:val="-18"/>
        </w:rPr>
        <w:t xml:space="preserve"> </w:t>
      </w:r>
      <w:r>
        <w:t>needed to continue to close the early warning gap together;</w:t>
      </w:r>
    </w:p>
    <w:p w14:paraId="7DD93772" w14:textId="77777777" w:rsidR="0003321D" w:rsidRDefault="0003321D">
      <w:pPr>
        <w:pStyle w:val="BodyText"/>
        <w:spacing w:before="1"/>
        <w:rPr>
          <w:sz w:val="31"/>
        </w:rPr>
      </w:pPr>
    </w:p>
    <w:p w14:paraId="1131078E" w14:textId="6469908B" w:rsidR="0003321D" w:rsidRDefault="00000000" w:rsidP="00863D4E">
      <w:pPr>
        <w:pStyle w:val="BodyText"/>
        <w:spacing w:line="235" w:lineRule="auto"/>
        <w:ind w:left="120" w:right="117"/>
        <w:jc w:val="both"/>
      </w:pPr>
      <w:r>
        <w:rPr>
          <w:b/>
        </w:rPr>
        <w:t xml:space="preserve">Noting </w:t>
      </w:r>
      <w:r>
        <w:t xml:space="preserve">the need to further strengthen exchanges and collaboration among Members and partners, and continuously improve technology to provide support to tropical cyclone preparedness and response capabilities, in order to achieve the </w:t>
      </w:r>
      <w:r>
        <w:lastRenderedPageBreak/>
        <w:t>mission of the Typhoon Committee;</w:t>
      </w:r>
    </w:p>
    <w:p w14:paraId="2EA0A0CB" w14:textId="77777777" w:rsidR="0003321D" w:rsidRDefault="0003321D">
      <w:pPr>
        <w:spacing w:line="235" w:lineRule="auto"/>
        <w:jc w:val="both"/>
      </w:pPr>
    </w:p>
    <w:p w14:paraId="6B393228" w14:textId="77777777" w:rsidR="0003321D" w:rsidRDefault="00000000">
      <w:pPr>
        <w:pStyle w:val="Heading1"/>
        <w:spacing w:line="235" w:lineRule="auto"/>
        <w:jc w:val="left"/>
      </w:pPr>
      <w:r>
        <w:t>Hereby</w:t>
      </w:r>
      <w:r>
        <w:rPr>
          <w:spacing w:val="40"/>
        </w:rPr>
        <w:t xml:space="preserve"> </w:t>
      </w:r>
      <w:r>
        <w:t>strongly</w:t>
      </w:r>
      <w:r>
        <w:rPr>
          <w:spacing w:val="40"/>
        </w:rPr>
        <w:t xml:space="preserve"> </w:t>
      </w:r>
      <w:r>
        <w:t>recommend</w:t>
      </w:r>
      <w:r>
        <w:rPr>
          <w:spacing w:val="40"/>
        </w:rPr>
        <w:t xml:space="preserve"> </w:t>
      </w:r>
      <w:r>
        <w:t>all</w:t>
      </w:r>
      <w:r>
        <w:rPr>
          <w:spacing w:val="40"/>
        </w:rPr>
        <w:t xml:space="preserve"> </w:t>
      </w:r>
      <w:r>
        <w:t>Members</w:t>
      </w:r>
      <w:r>
        <w:rPr>
          <w:spacing w:val="40"/>
        </w:rPr>
        <w:t xml:space="preserve"> </w:t>
      </w:r>
      <w:r>
        <w:t>of</w:t>
      </w:r>
      <w:r>
        <w:rPr>
          <w:spacing w:val="40"/>
        </w:rPr>
        <w:t xml:space="preserve"> </w:t>
      </w:r>
      <w:r>
        <w:t>the</w:t>
      </w:r>
      <w:r>
        <w:rPr>
          <w:spacing w:val="40"/>
        </w:rPr>
        <w:t xml:space="preserve"> </w:t>
      </w:r>
      <w:r>
        <w:t>Typhoon Committee take the following actions:</w:t>
      </w:r>
    </w:p>
    <w:p w14:paraId="0C461628" w14:textId="77777777" w:rsidR="0003321D" w:rsidRDefault="0003321D">
      <w:pPr>
        <w:pStyle w:val="BodyText"/>
        <w:spacing w:before="2"/>
        <w:rPr>
          <w:b/>
          <w:sz w:val="31"/>
        </w:rPr>
      </w:pPr>
    </w:p>
    <w:p w14:paraId="77CCA61D" w14:textId="77777777" w:rsidR="0003321D" w:rsidRDefault="00000000">
      <w:pPr>
        <w:pStyle w:val="ListParagraph"/>
        <w:numPr>
          <w:ilvl w:val="0"/>
          <w:numId w:val="1"/>
        </w:numPr>
        <w:tabs>
          <w:tab w:val="left" w:pos="481"/>
        </w:tabs>
        <w:spacing w:line="235" w:lineRule="auto"/>
        <w:jc w:val="both"/>
        <w:rPr>
          <w:sz w:val="32"/>
        </w:rPr>
      </w:pPr>
      <w:r>
        <w:rPr>
          <w:spacing w:val="-2"/>
          <w:sz w:val="32"/>
        </w:rPr>
        <w:t>To</w:t>
      </w:r>
      <w:r>
        <w:rPr>
          <w:spacing w:val="-11"/>
          <w:sz w:val="32"/>
        </w:rPr>
        <w:t xml:space="preserve"> </w:t>
      </w:r>
      <w:r>
        <w:rPr>
          <w:spacing w:val="-2"/>
          <w:sz w:val="32"/>
        </w:rPr>
        <w:t>enhance</w:t>
      </w:r>
      <w:r>
        <w:rPr>
          <w:spacing w:val="-12"/>
          <w:sz w:val="32"/>
        </w:rPr>
        <w:t xml:space="preserve"> </w:t>
      </w:r>
      <w:r>
        <w:rPr>
          <w:spacing w:val="-2"/>
          <w:sz w:val="32"/>
        </w:rPr>
        <w:t>cooperation</w:t>
      </w:r>
      <w:r>
        <w:rPr>
          <w:spacing w:val="-11"/>
          <w:sz w:val="32"/>
        </w:rPr>
        <w:t xml:space="preserve"> </w:t>
      </w:r>
      <w:r>
        <w:rPr>
          <w:spacing w:val="-2"/>
          <w:sz w:val="32"/>
        </w:rPr>
        <w:t>with</w:t>
      </w:r>
      <w:r>
        <w:rPr>
          <w:spacing w:val="-11"/>
          <w:sz w:val="32"/>
        </w:rPr>
        <w:t xml:space="preserve"> </w:t>
      </w:r>
      <w:r>
        <w:rPr>
          <w:spacing w:val="-2"/>
          <w:sz w:val="32"/>
        </w:rPr>
        <w:t>one</w:t>
      </w:r>
      <w:r>
        <w:rPr>
          <w:spacing w:val="-12"/>
          <w:sz w:val="32"/>
        </w:rPr>
        <w:t xml:space="preserve"> </w:t>
      </w:r>
      <w:r>
        <w:rPr>
          <w:spacing w:val="-2"/>
          <w:sz w:val="32"/>
        </w:rPr>
        <w:t>another</w:t>
      </w:r>
      <w:r>
        <w:rPr>
          <w:spacing w:val="-13"/>
          <w:sz w:val="32"/>
        </w:rPr>
        <w:t xml:space="preserve"> </w:t>
      </w:r>
      <w:r>
        <w:rPr>
          <w:spacing w:val="-2"/>
          <w:sz w:val="32"/>
        </w:rPr>
        <w:t>and</w:t>
      </w:r>
      <w:r>
        <w:rPr>
          <w:spacing w:val="-11"/>
          <w:sz w:val="32"/>
        </w:rPr>
        <w:t xml:space="preserve"> </w:t>
      </w:r>
      <w:r>
        <w:rPr>
          <w:spacing w:val="-2"/>
          <w:sz w:val="32"/>
        </w:rPr>
        <w:t>internally</w:t>
      </w:r>
      <w:r>
        <w:rPr>
          <w:spacing w:val="-11"/>
          <w:sz w:val="32"/>
        </w:rPr>
        <w:t xml:space="preserve"> </w:t>
      </w:r>
      <w:r>
        <w:rPr>
          <w:spacing w:val="-2"/>
          <w:sz w:val="32"/>
        </w:rPr>
        <w:t xml:space="preserve">among </w:t>
      </w:r>
      <w:r>
        <w:rPr>
          <w:sz w:val="32"/>
        </w:rPr>
        <w:t xml:space="preserve">national disaster management-related departments and key stakeholders, actively participate in the activities and the </w:t>
      </w:r>
      <w:proofErr w:type="spellStart"/>
      <w:r>
        <w:rPr>
          <w:sz w:val="32"/>
        </w:rPr>
        <w:t>programmes</w:t>
      </w:r>
      <w:proofErr w:type="spellEnd"/>
      <w:r>
        <w:rPr>
          <w:spacing w:val="-7"/>
          <w:sz w:val="32"/>
        </w:rPr>
        <w:t xml:space="preserve"> </w:t>
      </w:r>
      <w:r>
        <w:rPr>
          <w:sz w:val="32"/>
        </w:rPr>
        <w:t>of</w:t>
      </w:r>
      <w:r>
        <w:rPr>
          <w:spacing w:val="-8"/>
          <w:sz w:val="32"/>
        </w:rPr>
        <w:t xml:space="preserve"> </w:t>
      </w:r>
      <w:r>
        <w:rPr>
          <w:sz w:val="32"/>
        </w:rPr>
        <w:t>the</w:t>
      </w:r>
      <w:r>
        <w:rPr>
          <w:spacing w:val="-10"/>
          <w:sz w:val="32"/>
        </w:rPr>
        <w:t xml:space="preserve"> </w:t>
      </w:r>
      <w:r>
        <w:rPr>
          <w:sz w:val="32"/>
        </w:rPr>
        <w:t>Typhoon</w:t>
      </w:r>
      <w:r>
        <w:rPr>
          <w:spacing w:val="-6"/>
          <w:sz w:val="32"/>
        </w:rPr>
        <w:t xml:space="preserve"> </w:t>
      </w:r>
      <w:r>
        <w:rPr>
          <w:sz w:val="32"/>
        </w:rPr>
        <w:t>Committee,</w:t>
      </w:r>
      <w:r>
        <w:rPr>
          <w:spacing w:val="-9"/>
          <w:sz w:val="32"/>
        </w:rPr>
        <w:t xml:space="preserve"> </w:t>
      </w:r>
      <w:r>
        <w:rPr>
          <w:sz w:val="32"/>
        </w:rPr>
        <w:t>and</w:t>
      </w:r>
      <w:r>
        <w:rPr>
          <w:spacing w:val="-6"/>
          <w:sz w:val="32"/>
        </w:rPr>
        <w:t xml:space="preserve"> </w:t>
      </w:r>
      <w:r>
        <w:rPr>
          <w:sz w:val="32"/>
        </w:rPr>
        <w:t>further</w:t>
      </w:r>
      <w:r>
        <w:rPr>
          <w:spacing w:val="-6"/>
          <w:sz w:val="32"/>
        </w:rPr>
        <w:t xml:space="preserve"> </w:t>
      </w:r>
      <w:r>
        <w:rPr>
          <w:sz w:val="32"/>
        </w:rPr>
        <w:t>reinforce the cooperative relationship between the</w:t>
      </w:r>
      <w:r>
        <w:rPr>
          <w:spacing w:val="-6"/>
          <w:sz w:val="32"/>
        </w:rPr>
        <w:t xml:space="preserve"> </w:t>
      </w:r>
      <w:r>
        <w:rPr>
          <w:sz w:val="32"/>
        </w:rPr>
        <w:t>Typhoon Committee and international organizations, including UNESCAP and WMO,</w:t>
      </w:r>
      <w:r>
        <w:rPr>
          <w:spacing w:val="-20"/>
          <w:sz w:val="32"/>
        </w:rPr>
        <w:t xml:space="preserve"> </w:t>
      </w:r>
      <w:r>
        <w:rPr>
          <w:sz w:val="32"/>
        </w:rPr>
        <w:t>thereby</w:t>
      </w:r>
      <w:r>
        <w:rPr>
          <w:spacing w:val="-20"/>
          <w:sz w:val="32"/>
        </w:rPr>
        <w:t xml:space="preserve"> </w:t>
      </w:r>
      <w:r>
        <w:rPr>
          <w:sz w:val="32"/>
        </w:rPr>
        <w:t>strengthening</w:t>
      </w:r>
      <w:r>
        <w:rPr>
          <w:spacing w:val="-20"/>
          <w:sz w:val="32"/>
        </w:rPr>
        <w:t xml:space="preserve"> </w:t>
      </w:r>
      <w:r>
        <w:rPr>
          <w:sz w:val="32"/>
        </w:rPr>
        <w:t>the</w:t>
      </w:r>
      <w:r>
        <w:rPr>
          <w:spacing w:val="-20"/>
          <w:sz w:val="32"/>
        </w:rPr>
        <w:t xml:space="preserve"> </w:t>
      </w:r>
      <w:r>
        <w:rPr>
          <w:sz w:val="32"/>
        </w:rPr>
        <w:t>regional</w:t>
      </w:r>
      <w:r>
        <w:rPr>
          <w:spacing w:val="-20"/>
          <w:sz w:val="32"/>
        </w:rPr>
        <w:t xml:space="preserve"> </w:t>
      </w:r>
      <w:r>
        <w:rPr>
          <w:sz w:val="32"/>
        </w:rPr>
        <w:t>and</w:t>
      </w:r>
      <w:r>
        <w:rPr>
          <w:spacing w:val="-19"/>
          <w:sz w:val="32"/>
        </w:rPr>
        <w:t xml:space="preserve"> </w:t>
      </w:r>
      <w:r>
        <w:rPr>
          <w:sz w:val="32"/>
        </w:rPr>
        <w:t>global</w:t>
      </w:r>
      <w:r>
        <w:rPr>
          <w:spacing w:val="-20"/>
          <w:sz w:val="32"/>
        </w:rPr>
        <w:t xml:space="preserve"> </w:t>
      </w:r>
      <w:r>
        <w:rPr>
          <w:sz w:val="32"/>
        </w:rPr>
        <w:t>influence of</w:t>
      </w:r>
      <w:r>
        <w:rPr>
          <w:spacing w:val="-13"/>
          <w:sz w:val="32"/>
        </w:rPr>
        <w:t xml:space="preserve"> </w:t>
      </w:r>
      <w:r>
        <w:rPr>
          <w:sz w:val="32"/>
        </w:rPr>
        <w:t>the</w:t>
      </w:r>
      <w:r>
        <w:rPr>
          <w:spacing w:val="-17"/>
          <w:sz w:val="32"/>
        </w:rPr>
        <w:t xml:space="preserve"> </w:t>
      </w:r>
      <w:r>
        <w:rPr>
          <w:sz w:val="32"/>
        </w:rPr>
        <w:t>Typhoon</w:t>
      </w:r>
      <w:r>
        <w:rPr>
          <w:spacing w:val="-11"/>
          <w:sz w:val="32"/>
        </w:rPr>
        <w:t xml:space="preserve"> </w:t>
      </w:r>
      <w:r>
        <w:rPr>
          <w:sz w:val="32"/>
        </w:rPr>
        <w:t>Committee,</w:t>
      </w:r>
      <w:r>
        <w:rPr>
          <w:spacing w:val="-11"/>
          <w:sz w:val="32"/>
        </w:rPr>
        <w:t xml:space="preserve"> </w:t>
      </w:r>
      <w:r>
        <w:rPr>
          <w:sz w:val="32"/>
        </w:rPr>
        <w:t>jointly</w:t>
      </w:r>
      <w:r>
        <w:rPr>
          <w:spacing w:val="-11"/>
          <w:sz w:val="32"/>
        </w:rPr>
        <w:t xml:space="preserve"> </w:t>
      </w:r>
      <w:r>
        <w:rPr>
          <w:sz w:val="32"/>
        </w:rPr>
        <w:t>achieving</w:t>
      </w:r>
      <w:r>
        <w:rPr>
          <w:spacing w:val="-11"/>
          <w:sz w:val="32"/>
        </w:rPr>
        <w:t xml:space="preserve"> </w:t>
      </w:r>
      <w:r>
        <w:rPr>
          <w:sz w:val="32"/>
        </w:rPr>
        <w:t>the</w:t>
      </w:r>
      <w:r>
        <w:rPr>
          <w:spacing w:val="-12"/>
          <w:sz w:val="32"/>
        </w:rPr>
        <w:t xml:space="preserve"> </w:t>
      </w:r>
      <w:r>
        <w:rPr>
          <w:sz w:val="32"/>
        </w:rPr>
        <w:t>mitigation</w:t>
      </w:r>
      <w:r>
        <w:rPr>
          <w:spacing w:val="-11"/>
          <w:sz w:val="32"/>
        </w:rPr>
        <w:t xml:space="preserve"> </w:t>
      </w:r>
      <w:r>
        <w:rPr>
          <w:sz w:val="32"/>
        </w:rPr>
        <w:t>of disaster impacts on societies, lives and property by tropical cyclones, and making a greater contribution to the implementation and sustainability of the EW4All initiative;</w:t>
      </w:r>
    </w:p>
    <w:p w14:paraId="010D9F79" w14:textId="77777777" w:rsidR="0003321D" w:rsidRDefault="0003321D">
      <w:pPr>
        <w:pStyle w:val="BodyText"/>
        <w:spacing w:before="9"/>
        <w:rPr>
          <w:sz w:val="30"/>
        </w:rPr>
      </w:pPr>
    </w:p>
    <w:p w14:paraId="02AB9EE1" w14:textId="77777777" w:rsidR="0003321D" w:rsidRDefault="00000000">
      <w:pPr>
        <w:pStyle w:val="ListParagraph"/>
        <w:numPr>
          <w:ilvl w:val="0"/>
          <w:numId w:val="1"/>
        </w:numPr>
        <w:tabs>
          <w:tab w:val="left" w:pos="481"/>
        </w:tabs>
        <w:spacing w:line="235" w:lineRule="auto"/>
        <w:jc w:val="both"/>
        <w:rPr>
          <w:sz w:val="32"/>
        </w:rPr>
      </w:pPr>
      <w:r>
        <w:rPr>
          <w:spacing w:val="-2"/>
          <w:sz w:val="32"/>
        </w:rPr>
        <w:t>To</w:t>
      </w:r>
      <w:r>
        <w:rPr>
          <w:spacing w:val="-13"/>
          <w:sz w:val="32"/>
        </w:rPr>
        <w:t xml:space="preserve"> </w:t>
      </w:r>
      <w:r>
        <w:rPr>
          <w:spacing w:val="-2"/>
          <w:sz w:val="32"/>
        </w:rPr>
        <w:t>promote</w:t>
      </w:r>
      <w:r>
        <w:rPr>
          <w:spacing w:val="-13"/>
          <w:sz w:val="32"/>
        </w:rPr>
        <w:t xml:space="preserve"> </w:t>
      </w:r>
      <w:r>
        <w:rPr>
          <w:spacing w:val="-2"/>
          <w:sz w:val="32"/>
        </w:rPr>
        <w:t>sharing</w:t>
      </w:r>
      <w:r>
        <w:rPr>
          <w:spacing w:val="-13"/>
          <w:sz w:val="32"/>
        </w:rPr>
        <w:t xml:space="preserve"> </w:t>
      </w:r>
      <w:r>
        <w:rPr>
          <w:spacing w:val="-2"/>
          <w:sz w:val="32"/>
        </w:rPr>
        <w:t>of</w:t>
      </w:r>
      <w:r>
        <w:rPr>
          <w:spacing w:val="-14"/>
          <w:sz w:val="32"/>
        </w:rPr>
        <w:t xml:space="preserve"> </w:t>
      </w:r>
      <w:r>
        <w:rPr>
          <w:spacing w:val="-2"/>
          <w:sz w:val="32"/>
        </w:rPr>
        <w:t>data,</w:t>
      </w:r>
      <w:r>
        <w:rPr>
          <w:spacing w:val="-14"/>
          <w:sz w:val="32"/>
        </w:rPr>
        <w:t xml:space="preserve"> </w:t>
      </w:r>
      <w:r>
        <w:rPr>
          <w:spacing w:val="-2"/>
          <w:sz w:val="32"/>
        </w:rPr>
        <w:t>knowledge,</w:t>
      </w:r>
      <w:r>
        <w:rPr>
          <w:spacing w:val="-14"/>
          <w:sz w:val="32"/>
        </w:rPr>
        <w:t xml:space="preserve"> </w:t>
      </w:r>
      <w:r>
        <w:rPr>
          <w:spacing w:val="-2"/>
          <w:sz w:val="32"/>
        </w:rPr>
        <w:t>and</w:t>
      </w:r>
      <w:r>
        <w:rPr>
          <w:spacing w:val="-13"/>
          <w:sz w:val="32"/>
        </w:rPr>
        <w:t xml:space="preserve"> </w:t>
      </w:r>
      <w:r>
        <w:rPr>
          <w:spacing w:val="-2"/>
          <w:sz w:val="32"/>
        </w:rPr>
        <w:t>technology</w:t>
      </w:r>
      <w:r>
        <w:rPr>
          <w:spacing w:val="-16"/>
          <w:sz w:val="32"/>
        </w:rPr>
        <w:t xml:space="preserve"> </w:t>
      </w:r>
      <w:r>
        <w:rPr>
          <w:spacing w:val="-2"/>
          <w:sz w:val="32"/>
        </w:rPr>
        <w:t xml:space="preserve">among </w:t>
      </w:r>
      <w:r>
        <w:rPr>
          <w:sz w:val="32"/>
        </w:rPr>
        <w:t>Members and partners, and strengthen capacity development and personnel training, in order to enhance the capability of each</w:t>
      </w:r>
      <w:r>
        <w:rPr>
          <w:spacing w:val="-2"/>
          <w:sz w:val="32"/>
        </w:rPr>
        <w:t xml:space="preserve"> </w:t>
      </w:r>
      <w:r>
        <w:rPr>
          <w:sz w:val="32"/>
        </w:rPr>
        <w:t>Member</w:t>
      </w:r>
      <w:r>
        <w:rPr>
          <w:spacing w:val="-3"/>
          <w:sz w:val="32"/>
        </w:rPr>
        <w:t xml:space="preserve"> </w:t>
      </w:r>
      <w:r>
        <w:rPr>
          <w:sz w:val="32"/>
        </w:rPr>
        <w:t>in</w:t>
      </w:r>
      <w:r>
        <w:rPr>
          <w:spacing w:val="-2"/>
          <w:sz w:val="32"/>
        </w:rPr>
        <w:t xml:space="preserve"> </w:t>
      </w:r>
      <w:r>
        <w:rPr>
          <w:sz w:val="32"/>
        </w:rPr>
        <w:t>the</w:t>
      </w:r>
      <w:r>
        <w:rPr>
          <w:spacing w:val="-7"/>
          <w:sz w:val="32"/>
        </w:rPr>
        <w:t xml:space="preserve"> </w:t>
      </w:r>
      <w:r>
        <w:rPr>
          <w:sz w:val="32"/>
        </w:rPr>
        <w:t>Typhoon</w:t>
      </w:r>
      <w:r>
        <w:rPr>
          <w:spacing w:val="-2"/>
          <w:sz w:val="32"/>
        </w:rPr>
        <w:t xml:space="preserve"> </w:t>
      </w:r>
      <w:r>
        <w:rPr>
          <w:sz w:val="32"/>
        </w:rPr>
        <w:t>Committee</w:t>
      </w:r>
      <w:r>
        <w:rPr>
          <w:spacing w:val="-3"/>
          <w:sz w:val="32"/>
        </w:rPr>
        <w:t xml:space="preserve"> </w:t>
      </w:r>
      <w:r>
        <w:rPr>
          <w:sz w:val="32"/>
        </w:rPr>
        <w:t>region</w:t>
      </w:r>
      <w:r>
        <w:rPr>
          <w:spacing w:val="-2"/>
          <w:sz w:val="32"/>
        </w:rPr>
        <w:t xml:space="preserve"> </w:t>
      </w:r>
      <w:r>
        <w:rPr>
          <w:sz w:val="32"/>
        </w:rPr>
        <w:t>to</w:t>
      </w:r>
      <w:r>
        <w:rPr>
          <w:spacing w:val="-2"/>
          <w:sz w:val="32"/>
        </w:rPr>
        <w:t xml:space="preserve"> </w:t>
      </w:r>
      <w:r>
        <w:rPr>
          <w:sz w:val="32"/>
        </w:rPr>
        <w:t>respond</w:t>
      </w:r>
      <w:r>
        <w:rPr>
          <w:spacing w:val="-2"/>
          <w:sz w:val="32"/>
        </w:rPr>
        <w:t xml:space="preserve"> </w:t>
      </w:r>
      <w:r>
        <w:rPr>
          <w:sz w:val="32"/>
        </w:rPr>
        <w:t>to tropical cyclones;</w:t>
      </w:r>
    </w:p>
    <w:p w14:paraId="0CFAE0E1" w14:textId="77777777" w:rsidR="0003321D" w:rsidRDefault="0003321D">
      <w:pPr>
        <w:pStyle w:val="BodyText"/>
        <w:spacing w:before="1"/>
        <w:rPr>
          <w:sz w:val="31"/>
        </w:rPr>
      </w:pPr>
    </w:p>
    <w:p w14:paraId="0F91CD20" w14:textId="77777777" w:rsidR="0003321D" w:rsidRDefault="00000000">
      <w:pPr>
        <w:pStyle w:val="ListParagraph"/>
        <w:numPr>
          <w:ilvl w:val="0"/>
          <w:numId w:val="1"/>
        </w:numPr>
        <w:tabs>
          <w:tab w:val="left" w:pos="481"/>
        </w:tabs>
        <w:spacing w:line="235" w:lineRule="auto"/>
        <w:ind w:right="121"/>
        <w:jc w:val="both"/>
        <w:rPr>
          <w:sz w:val="32"/>
        </w:rPr>
      </w:pPr>
      <w:r>
        <w:rPr>
          <w:sz w:val="32"/>
        </w:rPr>
        <w:t>To encourage collaborative research on tropical cyclone techniques, advance the application of monitoring and forecasting technologies for tropical cyclones and related hazards, and continue to develop new tools, models and products, particularly the integration of artificial intelligence (AI) technology;</w:t>
      </w:r>
    </w:p>
    <w:p w14:paraId="6777045C" w14:textId="77777777" w:rsidR="0003321D" w:rsidRDefault="0003321D">
      <w:pPr>
        <w:pStyle w:val="BodyText"/>
        <w:rPr>
          <w:sz w:val="31"/>
        </w:rPr>
      </w:pPr>
    </w:p>
    <w:p w14:paraId="5BEF25F7" w14:textId="77777777" w:rsidR="0003321D" w:rsidRDefault="00000000">
      <w:pPr>
        <w:pStyle w:val="ListParagraph"/>
        <w:numPr>
          <w:ilvl w:val="0"/>
          <w:numId w:val="1"/>
        </w:numPr>
        <w:tabs>
          <w:tab w:val="left" w:pos="481"/>
        </w:tabs>
        <w:spacing w:before="1" w:line="235" w:lineRule="auto"/>
        <w:ind w:right="117"/>
        <w:jc w:val="both"/>
        <w:rPr>
          <w:sz w:val="32"/>
        </w:rPr>
      </w:pPr>
      <w:r>
        <w:rPr>
          <w:sz w:val="32"/>
        </w:rPr>
        <w:t>To promote and improve the socio-economic benefits of tropical cyclone-related services by (</w:t>
      </w:r>
      <w:proofErr w:type="spellStart"/>
      <w:r>
        <w:rPr>
          <w:sz w:val="32"/>
        </w:rPr>
        <w:t>i</w:t>
      </w:r>
      <w:proofErr w:type="spellEnd"/>
      <w:r>
        <w:rPr>
          <w:sz w:val="32"/>
        </w:rPr>
        <w:t xml:space="preserve">) improving the collection, standardization, and use of socio-economic data to inform future planning and investment, (ii) transitioning from hazard-based to impact-based forecasting, and improving seasonal forecasting for water resource management, and (iii) tailoring messages to affected sectors and communities through joint projects, knowledge exchange, and coordinated training that build resilience and reduce risk against tropical </w:t>
      </w:r>
      <w:r>
        <w:rPr>
          <w:spacing w:val="-2"/>
          <w:sz w:val="32"/>
        </w:rPr>
        <w:t>cyclones.</w:t>
      </w:r>
    </w:p>
    <w:sectPr w:rsidR="0003321D">
      <w:footerReference w:type="default" r:id="rId7"/>
      <w:pgSz w:w="11910" w:h="16840"/>
      <w:pgMar w:top="1340" w:right="1680" w:bottom="900" w:left="1680" w:header="0" w:footer="7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2A692" w14:textId="77777777" w:rsidR="00727AD6" w:rsidRDefault="00727AD6">
      <w:r>
        <w:separator/>
      </w:r>
    </w:p>
  </w:endnote>
  <w:endnote w:type="continuationSeparator" w:id="0">
    <w:p w14:paraId="576D937F" w14:textId="77777777" w:rsidR="00727AD6" w:rsidRDefault="00727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D4E49" w14:textId="77777777" w:rsidR="0003321D" w:rsidRDefault="00863D4E">
    <w:pPr>
      <w:pStyle w:val="BodyText"/>
      <w:spacing w:line="14" w:lineRule="auto"/>
      <w:rPr>
        <w:sz w:val="20"/>
      </w:rPr>
    </w:pPr>
    <w:r>
      <w:rPr>
        <w:noProof/>
      </w:rPr>
      <mc:AlternateContent>
        <mc:Choice Requires="wps">
          <w:drawing>
            <wp:anchor distT="0" distB="0" distL="114300" distR="114300" simplePos="0" relativeHeight="251658240" behindDoc="1" locked="0" layoutInCell="1" allowOverlap="1" wp14:anchorId="0108DFF1" wp14:editId="4C83D347">
              <wp:simplePos x="0" y="0"/>
              <wp:positionH relativeFrom="page">
                <wp:posOffset>3398520</wp:posOffset>
              </wp:positionH>
              <wp:positionV relativeFrom="page">
                <wp:posOffset>10095865</wp:posOffset>
              </wp:positionV>
              <wp:extent cx="765175" cy="180975"/>
              <wp:effectExtent l="0" t="0" r="9525" b="9525"/>
              <wp:wrapNone/>
              <wp:docPr id="144874032"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517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D2382" w14:textId="77777777" w:rsidR="0003321D" w:rsidRDefault="00000000">
                          <w:pPr>
                            <w:spacing w:before="11"/>
                            <w:ind w:left="20"/>
                          </w:pPr>
                          <w:r>
                            <w:t>Page</w:t>
                          </w:r>
                          <w:r>
                            <w:rPr>
                              <w:spacing w:val="54"/>
                            </w:rPr>
                            <w:t xml:space="preserve"> </w:t>
                          </w:r>
                          <w:r>
                            <w:fldChar w:fldCharType="begin"/>
                          </w:r>
                          <w:r>
                            <w:instrText xml:space="preserve"> PAGE </w:instrText>
                          </w:r>
                          <w:r>
                            <w:fldChar w:fldCharType="separate"/>
                          </w:r>
                          <w:r>
                            <w:t>1</w:t>
                          </w:r>
                          <w:r>
                            <w:fldChar w:fldCharType="end"/>
                          </w:r>
                          <w:r>
                            <w:rPr>
                              <w:spacing w:val="53"/>
                            </w:rPr>
                            <w:t xml:space="preserve"> </w:t>
                          </w:r>
                          <w:r>
                            <w:t>of</w:t>
                          </w:r>
                          <w:r>
                            <w:rPr>
                              <w:spacing w:val="54"/>
                            </w:rPr>
                            <w:t xml:space="preserve"> </w:t>
                          </w:r>
                          <w:r>
                            <w:rPr>
                              <w:spacing w:val="-10"/>
                            </w:rPr>
                            <w:fldChar w:fldCharType="begin"/>
                          </w:r>
                          <w:r>
                            <w:rPr>
                              <w:spacing w:val="-10"/>
                            </w:rPr>
                            <w:instrText xml:space="preserve"> NUMPAGES </w:instrText>
                          </w:r>
                          <w:r>
                            <w:rPr>
                              <w:spacing w:val="-10"/>
                            </w:rPr>
                            <w:fldChar w:fldCharType="separate"/>
                          </w:r>
                          <w:r>
                            <w:rPr>
                              <w:spacing w:val="-10"/>
                            </w:rPr>
                            <w:t>2</w:t>
                          </w:r>
                          <w:r>
                            <w:rPr>
                              <w:spacing w:val="-1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08DFF1" id="_x0000_t202" coordsize="21600,21600" o:spt="202" path="m,l,21600r21600,l21600,xe">
              <v:stroke joinstyle="miter"/>
              <v:path gradientshapeok="t" o:connecttype="rect"/>
            </v:shapetype>
            <v:shape id="docshape1" o:spid="_x0000_s1026" type="#_x0000_t202" style="position:absolute;margin-left:267.6pt;margin-top:794.95pt;width:60.25pt;height:14.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KsDPxAEAAHkDAAAOAAAAZHJzL2Uyb0RvYy54bWysU9uO0zAQfUfiHyy/06Qr7YWo6QpYLUJa&#13;&#10;YKWFD3Acu7FIPGbGbVK+nrHTdLm8IV6s8Xh8fM6Z8eZ2GnpxMEgOfC3Xq1IK4zW0zu9q+fXL/asb&#13;&#10;KSgq36oevKnl0ZC83b58sRlDZS6gg741KBjEUzWGWnYxhqooSHdmULSCYDwfWsBBRd7irmhRjYw+&#13;&#10;9MVFWV4VI2AbELQh4uzdfCi3Gd9ao+Nna8lE0deSucW8Yl6btBbbjap2qELn9ImG+gcWg3KeHz1D&#13;&#10;3amoxB7dX1CD0wgENq40DAVY67TJGljNuvxDzVOngsla2BwKZ5vo/8HqT4en8IgiTm9h4gZmERQe&#13;&#10;QH8j9qYYA1WnmuQpVZSqm/EjtNxNtY+Qb0wWhySfBQmGYaePZ3fNFIXm5PXV5fr6UgrNR+ub8jXH&#13;&#10;6QVVLZcDUnxvYBApqCVy8zK4OjxQnEuXkvSWh3vX97mBvf8twZgpk8knvjPzODUTVycRDbRHloEw&#13;&#10;zwPPLwcd4A8pRp6FWtL3vUIjRf/Bs9lpcJYAl6BZAuU1X61llGIO38V5wPYB3a5j5NlVD2/YLuuy&#13;&#10;lGcWJ57c32zGaRbTAP26z1XPP2b7EwAA//8DAFBLAwQUAAYACAAAACEAOhFWfeYAAAASAQAADwAA&#13;&#10;AGRycy9kb3ducmV2LnhtbExPPU/DMBDdkfgP1iGxUacBp2kap0KtKgbUoQUkRjc2cURsR7abuv+e&#13;&#10;Y4LlpLv37n3U62QGMikfemc5zGcZEGVbJ3vbcXh/2z2UQEIUVorBWcXhqgKsm9ubWlTSXexBTcfY&#13;&#10;ERSxoRIcdIxjRWlotTIizNyoLGJfzhsRcfUdlV5cUNwMNM+yghrRW3TQYlQbrdrv49lw+NiMu9f0&#13;&#10;qcV+YvJlmy8OV98mzu/v0naF43kFJKoU/z7gtwPmhwaDndzZykAGDuyR5UhFgJXLJRCkFIwtgJzw&#13;&#10;VMzLJ6BNTf9XaX4AAAD//wMAUEsBAi0AFAAGAAgAAAAhALaDOJL+AAAA4QEAABMAAAAAAAAAAAAA&#13;&#10;AAAAAAAAAFtDb250ZW50X1R5cGVzXS54bWxQSwECLQAUAAYACAAAACEAOP0h/9YAAACUAQAACwAA&#13;&#10;AAAAAAAAAAAAAAAvAQAAX3JlbHMvLnJlbHNQSwECLQAUAAYACAAAACEAhSrAz8QBAAB5AwAADgAA&#13;&#10;AAAAAAAAAAAAAAAuAgAAZHJzL2Uyb0RvYy54bWxQSwECLQAUAAYACAAAACEAOhFWfeYAAAASAQAA&#13;&#10;DwAAAAAAAAAAAAAAAAAeBAAAZHJzL2Rvd25yZXYueG1sUEsFBgAAAAAEAAQA8wAAADEFAAAAAA==&#13;&#10;" filled="f" stroked="f">
              <v:path arrowok="t"/>
              <v:textbox inset="0,0,0,0">
                <w:txbxContent>
                  <w:p w14:paraId="784D2382" w14:textId="77777777" w:rsidR="0003321D" w:rsidRDefault="00000000">
                    <w:pPr>
                      <w:spacing w:before="11"/>
                      <w:ind w:left="20"/>
                    </w:pPr>
                    <w:r>
                      <w:t>Page</w:t>
                    </w:r>
                    <w:r>
                      <w:rPr>
                        <w:spacing w:val="54"/>
                      </w:rPr>
                      <w:t xml:space="preserve"> </w:t>
                    </w:r>
                    <w:r>
                      <w:fldChar w:fldCharType="begin"/>
                    </w:r>
                    <w:r>
                      <w:instrText xml:space="preserve"> PAGE </w:instrText>
                    </w:r>
                    <w:r>
                      <w:fldChar w:fldCharType="separate"/>
                    </w:r>
                    <w:r>
                      <w:t>1</w:t>
                    </w:r>
                    <w:r>
                      <w:fldChar w:fldCharType="end"/>
                    </w:r>
                    <w:r>
                      <w:rPr>
                        <w:spacing w:val="53"/>
                      </w:rPr>
                      <w:t xml:space="preserve"> </w:t>
                    </w:r>
                    <w:r>
                      <w:t>of</w:t>
                    </w:r>
                    <w:r>
                      <w:rPr>
                        <w:spacing w:val="54"/>
                      </w:rPr>
                      <w:t xml:space="preserve"> </w:t>
                    </w:r>
                    <w:r>
                      <w:rPr>
                        <w:spacing w:val="-10"/>
                      </w:rPr>
                      <w:fldChar w:fldCharType="begin"/>
                    </w:r>
                    <w:r>
                      <w:rPr>
                        <w:spacing w:val="-10"/>
                      </w:rPr>
                      <w:instrText xml:space="preserve"> NUMPAGES </w:instrText>
                    </w:r>
                    <w:r>
                      <w:rPr>
                        <w:spacing w:val="-10"/>
                      </w:rPr>
                      <w:fldChar w:fldCharType="separate"/>
                    </w:r>
                    <w:r>
                      <w:rPr>
                        <w:spacing w:val="-10"/>
                      </w:rPr>
                      <w:t>2</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212BE" w14:textId="77777777" w:rsidR="00727AD6" w:rsidRDefault="00727AD6">
      <w:r>
        <w:separator/>
      </w:r>
    </w:p>
  </w:footnote>
  <w:footnote w:type="continuationSeparator" w:id="0">
    <w:p w14:paraId="333D84B6" w14:textId="77777777" w:rsidR="00727AD6" w:rsidRDefault="00727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0C59F5"/>
    <w:multiLevelType w:val="hybridMultilevel"/>
    <w:tmpl w:val="AB10F26A"/>
    <w:lvl w:ilvl="0" w:tplc="4D2E410A">
      <w:start w:val="1"/>
      <w:numFmt w:val="decimal"/>
      <w:lvlText w:val="%1."/>
      <w:lvlJc w:val="left"/>
      <w:pPr>
        <w:ind w:left="480" w:hanging="360"/>
        <w:jc w:val="left"/>
      </w:pPr>
      <w:rPr>
        <w:rFonts w:ascii="Times New Roman" w:eastAsia="Times New Roman" w:hAnsi="Times New Roman" w:cs="Times New Roman" w:hint="default"/>
        <w:b w:val="0"/>
        <w:bCs w:val="0"/>
        <w:i w:val="0"/>
        <w:iCs w:val="0"/>
        <w:spacing w:val="0"/>
        <w:w w:val="99"/>
        <w:sz w:val="32"/>
        <w:szCs w:val="32"/>
        <w:lang w:val="en-US" w:eastAsia="en-US" w:bidi="ar-SA"/>
      </w:rPr>
    </w:lvl>
    <w:lvl w:ilvl="1" w:tplc="B05A1390">
      <w:numFmt w:val="bullet"/>
      <w:lvlText w:val="•"/>
      <w:lvlJc w:val="left"/>
      <w:pPr>
        <w:ind w:left="1286" w:hanging="360"/>
      </w:pPr>
      <w:rPr>
        <w:rFonts w:hint="default"/>
        <w:lang w:val="en-US" w:eastAsia="en-US" w:bidi="ar-SA"/>
      </w:rPr>
    </w:lvl>
    <w:lvl w:ilvl="2" w:tplc="F28EE4CE">
      <w:numFmt w:val="bullet"/>
      <w:lvlText w:val="•"/>
      <w:lvlJc w:val="left"/>
      <w:pPr>
        <w:ind w:left="2093" w:hanging="360"/>
      </w:pPr>
      <w:rPr>
        <w:rFonts w:hint="default"/>
        <w:lang w:val="en-US" w:eastAsia="en-US" w:bidi="ar-SA"/>
      </w:rPr>
    </w:lvl>
    <w:lvl w:ilvl="3" w:tplc="61B4D2A0">
      <w:numFmt w:val="bullet"/>
      <w:lvlText w:val="•"/>
      <w:lvlJc w:val="left"/>
      <w:pPr>
        <w:ind w:left="2899" w:hanging="360"/>
      </w:pPr>
      <w:rPr>
        <w:rFonts w:hint="default"/>
        <w:lang w:val="en-US" w:eastAsia="en-US" w:bidi="ar-SA"/>
      </w:rPr>
    </w:lvl>
    <w:lvl w:ilvl="4" w:tplc="F7447734">
      <w:numFmt w:val="bullet"/>
      <w:lvlText w:val="•"/>
      <w:lvlJc w:val="left"/>
      <w:pPr>
        <w:ind w:left="3706" w:hanging="360"/>
      </w:pPr>
      <w:rPr>
        <w:rFonts w:hint="default"/>
        <w:lang w:val="en-US" w:eastAsia="en-US" w:bidi="ar-SA"/>
      </w:rPr>
    </w:lvl>
    <w:lvl w:ilvl="5" w:tplc="899A5CB6">
      <w:numFmt w:val="bullet"/>
      <w:lvlText w:val="•"/>
      <w:lvlJc w:val="left"/>
      <w:pPr>
        <w:ind w:left="4513" w:hanging="360"/>
      </w:pPr>
      <w:rPr>
        <w:rFonts w:hint="default"/>
        <w:lang w:val="en-US" w:eastAsia="en-US" w:bidi="ar-SA"/>
      </w:rPr>
    </w:lvl>
    <w:lvl w:ilvl="6" w:tplc="4E1E2406">
      <w:numFmt w:val="bullet"/>
      <w:lvlText w:val="•"/>
      <w:lvlJc w:val="left"/>
      <w:pPr>
        <w:ind w:left="5319" w:hanging="360"/>
      </w:pPr>
      <w:rPr>
        <w:rFonts w:hint="default"/>
        <w:lang w:val="en-US" w:eastAsia="en-US" w:bidi="ar-SA"/>
      </w:rPr>
    </w:lvl>
    <w:lvl w:ilvl="7" w:tplc="3B407FB6">
      <w:numFmt w:val="bullet"/>
      <w:lvlText w:val="•"/>
      <w:lvlJc w:val="left"/>
      <w:pPr>
        <w:ind w:left="6126" w:hanging="360"/>
      </w:pPr>
      <w:rPr>
        <w:rFonts w:hint="default"/>
        <w:lang w:val="en-US" w:eastAsia="en-US" w:bidi="ar-SA"/>
      </w:rPr>
    </w:lvl>
    <w:lvl w:ilvl="8" w:tplc="DC984F02">
      <w:numFmt w:val="bullet"/>
      <w:lvlText w:val="•"/>
      <w:lvlJc w:val="left"/>
      <w:pPr>
        <w:ind w:left="6933" w:hanging="360"/>
      </w:pPr>
      <w:rPr>
        <w:rFonts w:hint="default"/>
        <w:lang w:val="en-US" w:eastAsia="en-US" w:bidi="ar-SA"/>
      </w:rPr>
    </w:lvl>
  </w:abstractNum>
  <w:num w:numId="1" w16cid:durableId="20895714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drawingGridHorizontalSpacing w:val="110"/>
  <w:displayHorizontalDrawingGridEvery w:val="2"/>
  <w:characterSpacingControl w:val="doNotCompress"/>
  <w:hdrShapeDefaults>
    <o:shapedefaults v:ext="edit" spidmax="102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21D"/>
    <w:rsid w:val="0003321D"/>
    <w:rsid w:val="00727AD6"/>
    <w:rsid w:val="00863D4E"/>
    <w:rsid w:val="00DD2BC1"/>
  </w:rsids>
  <m:mathPr>
    <m:mathFont m:val="Cambria Math"/>
    <m:brkBin m:val="before"/>
    <m:brkBinSub m:val="--"/>
    <m:smallFrac m:val="0"/>
    <m:dispDef/>
    <m:lMargin m:val="0"/>
    <m:rMargin m:val="0"/>
    <m:defJc m:val="centerGroup"/>
    <m:wrapIndent m:val="1440"/>
    <m:intLim m:val="subSup"/>
    <m:naryLim m:val="undOvr"/>
  </m:mathPr>
  <w:themeFontLang w:val="en-MO" w:eastAsia="zh-TW"/>
  <w:clrSchemeMapping w:bg1="light1" w:t1="dark1" w:bg2="light2" w:t2="dark2" w:accent1="accent1" w:accent2="accent2" w:accent3="accent3" w:accent4="accent4" w:accent5="accent5" w:accent6="accent6" w:hyperlink="hyperlink" w:followedHyperlink="followedHyperlink"/>
  <w:decimalSymbol w:val="."/>
  <w:listSeparator w:val=","/>
  <w14:docId w14:val="0B7BB573"/>
  <w15:docId w15:val="{25D12774-24E5-EF46-BB39-E613B2FB5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77"/>
      <w:ind w:left="120"/>
      <w:jc w:val="center"/>
      <w:outlineLvl w:val="0"/>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32"/>
      <w:szCs w:val="32"/>
    </w:rPr>
  </w:style>
  <w:style w:type="paragraph" w:styleId="ListParagraph">
    <w:name w:val="List Paragraph"/>
    <w:basedOn w:val="Normal"/>
    <w:uiPriority w:val="1"/>
    <w:qFormat/>
    <w:pPr>
      <w:ind w:left="480" w:right="118" w:hanging="360"/>
      <w:jc w:val="both"/>
    </w:pPr>
  </w:style>
  <w:style w:type="paragraph" w:customStyle="1" w:styleId="TableParagraph">
    <w:name w:val="Table Paragraph"/>
    <w:basedOn w:val="Normal"/>
    <w:uiPriority w:val="1"/>
    <w:qFormat/>
  </w:style>
  <w:style w:type="paragraph" w:styleId="NoSpacing">
    <w:name w:val="No Spacing"/>
    <w:link w:val="NoSpacingChar"/>
    <w:uiPriority w:val="1"/>
    <w:qFormat/>
    <w:rsid w:val="00863D4E"/>
    <w:pPr>
      <w:widowControl/>
      <w:autoSpaceDE/>
      <w:autoSpaceDN/>
    </w:pPr>
    <w:rPr>
      <w:rFonts w:eastAsiaTheme="minorEastAsia"/>
      <w:lang w:eastAsia="ja-JP"/>
    </w:rPr>
  </w:style>
  <w:style w:type="character" w:customStyle="1" w:styleId="NoSpacingChar">
    <w:name w:val="No Spacing Char"/>
    <w:basedOn w:val="DefaultParagraphFont"/>
    <w:link w:val="NoSpacing"/>
    <w:uiPriority w:val="1"/>
    <w:qFormat/>
    <w:rsid w:val="00863D4E"/>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545</Words>
  <Characters>3107</Characters>
  <Application>Microsoft Office Word</Application>
  <DocSecurity>0</DocSecurity>
  <Lines>25</Lines>
  <Paragraphs>7</Paragraphs>
  <ScaleCrop>false</ScaleCrop>
  <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 CHI WAI</dc:creator>
  <cp:lastModifiedBy>Denise</cp:lastModifiedBy>
  <cp:revision>2</cp:revision>
  <dcterms:created xsi:type="dcterms:W3CDTF">2026-03-17T09:43:00Z</dcterms:created>
  <dcterms:modified xsi:type="dcterms:W3CDTF">2026-03-17T09:43:00Z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2025-12-03T00:00:00Z</vt:filetime>
  </property>
  <property fmtid="{D5CDD505-2E9C-101B-9397-08002B2CF9AE}" pid="3" name="Creator">
    <vt:lpwstr>Microsoft® Word LTSC</vt:lpwstr>
  </property>
  <property fmtid="{D5CDD505-2E9C-101B-9397-08002B2CF9AE}" pid="4" name="LastSaved">
    <vt:filetime>2026-03-17T00:00:00Z</vt:filetime>
  </property>
  <property fmtid="{D5CDD505-2E9C-101B-9397-08002B2CF9AE}" pid="5" name="Producer">
    <vt:lpwstr>Microsoft® Word LTSC</vt:lpwstr>
  </property>
</Properties>
</file>